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pPr>
      <w:r w:rsidDel="00000000" w:rsidR="00000000" w:rsidRPr="00000000">
        <w:rPr>
          <w:rtl w:val="0"/>
        </w:rPr>
        <w:t xml:space="preserve">Mandatory Recycling By-Law- Section 4.040</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 MANDATORY RECYCLING.  In order to implement a program of recycling in conjunction with ordinary waste disposal, residents of every household shall separate waste material into the following categories before depositing same for disposal: (1) glass and cans; (2) paper; (3) other waste.  If no separation takes place, waste material shall not be accepted for collection at the disposal location.  Any person who violates the provisions of this section shall be fined in accordance with the provisions of Section 1.010 of these By-Laws.  All other current regulations of the Board of Health for dumping and disposal of refuse will remain in effect and copies are available in the Town Clerk’s Office.</w:t>
      </w:r>
    </w:p>
    <w:p w:rsidR="00000000" w:rsidDel="00000000" w:rsidP="00000000" w:rsidRDefault="00000000" w:rsidRPr="00000000">
      <w:pPr>
        <w:contextualSpacing w:val="0"/>
        <w:rPr/>
      </w:pP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t xml:space="preserve">Town of East Longmeadow - General By-Laws – Amended 2015 </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